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506" w:rsidRPr="0051076C" w:rsidP="002E7506" w14:paraId="4AB5B1B6" w14:textId="36541C0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452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B21E36" w:rsidP="00B21E36" w14:paraId="3600022F" w14:textId="77777777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86MS0008-01-2026-002626-66</w:t>
      </w:r>
    </w:p>
    <w:p w:rsidR="002E7506" w:rsidRPr="0051076C" w:rsidP="00B21E36" w14:paraId="46B9DB70" w14:textId="39609D0A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2E7506" w:rsidRPr="0051076C" w:rsidP="002E7506" w14:paraId="63242D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2E7506" w:rsidRPr="0051076C" w:rsidP="002E7506" w14:paraId="7DF1A0B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E7506" w:rsidRPr="0051076C" w:rsidP="002E7506" w14:paraId="39AEC4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20 мая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2E7506" w:rsidRPr="0051076C" w:rsidP="002E7506" w14:paraId="00BFC05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2E7506" w:rsidRPr="0051076C" w:rsidP="002E7506" w14:paraId="574380D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2E7506" w:rsidRPr="00F17DAA" w:rsidP="002E7506" w14:paraId="53B33FEE" w14:textId="1E0E95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Сотниковой Екатерины Сергеевны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ода рождения, урожен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ки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работающей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</w:t>
      </w:r>
      <w:r w:rsidR="006017E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</w:t>
      </w:r>
      <w:r w:rsidR="006017E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F17DAA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 w:rsidRPr="00F17DAA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*</w:t>
      </w:r>
    </w:p>
    <w:p w:rsidR="002E7506" w:rsidRPr="0051076C" w:rsidP="002E7506" w14:paraId="1EA861C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E7506" w:rsidRPr="0051076C" w:rsidP="002E7506" w14:paraId="3CBB1037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2E7506" w:rsidRPr="0051076C" w:rsidP="002E7506" w14:paraId="6F69E56B" w14:textId="59F16D5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Сотникова Е.С.,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08:08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п. 1.3 Правил дорожного движения. </w:t>
      </w:r>
    </w:p>
    <w:p w:rsidR="002E7506" w:rsidRPr="00A741F9" w:rsidP="002E7506" w14:paraId="4C933919" w14:textId="60C1BAE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>При рассмотрени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>Сотникова Е.С.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а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2E7506" w:rsidRPr="001D1791" w:rsidP="002E7506" w14:paraId="47025E6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2E7506" w:rsidRPr="0051076C" w:rsidP="002E7506" w14:paraId="40EC8BF4" w14:textId="30DB652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646531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20.03.2026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Сотникова Е.С.</w:t>
      </w:r>
      <w:r w:rsidRPr="0051076C">
        <w:rPr>
          <w:color w:val="0D0D0D" w:themeColor="text1" w:themeTint="F2"/>
          <w:szCs w:val="28"/>
        </w:rPr>
        <w:t xml:space="preserve"> ознакомлен</w:t>
      </w:r>
      <w:r>
        <w:rPr>
          <w:color w:val="0D0D0D" w:themeColor="text1" w:themeTint="F2"/>
          <w:szCs w:val="28"/>
        </w:rPr>
        <w:t>а</w:t>
      </w:r>
      <w:r w:rsidRPr="0051076C">
        <w:rPr>
          <w:color w:val="0D0D0D" w:themeColor="text1" w:themeTint="F2"/>
          <w:szCs w:val="28"/>
        </w:rPr>
        <w:t xml:space="preserve">; </w:t>
      </w:r>
      <w:r>
        <w:rPr>
          <w:color w:val="0D0D0D" w:themeColor="text1" w:themeTint="F2"/>
          <w:szCs w:val="28"/>
        </w:rPr>
        <w:t>ей</w:t>
      </w:r>
      <w:r w:rsidRPr="0051076C">
        <w:rPr>
          <w:color w:val="0D0D0D" w:themeColor="text1" w:themeTint="F2"/>
          <w:szCs w:val="28"/>
        </w:rPr>
        <w:t xml:space="preserve">  разъяснены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</w:t>
      </w:r>
      <w:r>
        <w:rPr>
          <w:color w:val="0D0D0D" w:themeColor="text1" w:themeTint="F2"/>
          <w:szCs w:val="28"/>
        </w:rPr>
        <w:t>ее</w:t>
      </w:r>
      <w:r w:rsidRPr="0051076C">
        <w:rPr>
          <w:color w:val="0D0D0D" w:themeColor="text1" w:themeTint="F2"/>
          <w:szCs w:val="28"/>
        </w:rPr>
        <w:t xml:space="preserve"> подпись, замечаний</w:t>
      </w:r>
      <w:r>
        <w:rPr>
          <w:color w:val="0D0D0D" w:themeColor="text1" w:themeTint="F2"/>
          <w:szCs w:val="28"/>
        </w:rPr>
        <w:t xml:space="preserve">   не указала, </w:t>
      </w:r>
      <w:r>
        <w:rPr>
          <w:color w:val="0D0D0D" w:themeColor="text1" w:themeTint="F2"/>
          <w:szCs w:val="28"/>
        </w:rPr>
        <w:t>в объяснении указала-</w:t>
      </w:r>
      <w:r w:rsidRPr="002E7506">
        <w:rPr>
          <w:color w:val="EE0000"/>
          <w:szCs w:val="28"/>
        </w:rPr>
        <w:t>не согласна;</w:t>
      </w:r>
    </w:p>
    <w:p w:rsidR="002E7506" w:rsidRPr="0051076C" w:rsidP="002E7506" w14:paraId="4DC1F71E" w14:textId="08FF09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действия с 07:00-10:00,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Сотникова Е.С.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а,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замечаний не указал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2E7506" w:rsidRPr="0051076C" w:rsidP="002E7506" w14:paraId="25320DD2" w14:textId="4551A0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предназначенную для встречного движения, в зоне действия дорожного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знака 3.20 «Обгон запрещен» табличкой «Время действия с 07:00-10:00, 17:00-20:00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2E7506" w:rsidRPr="0051076C" w:rsidP="002E7506" w14:paraId="0C48F58D" w14:textId="589878C1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</w:t>
      </w:r>
      <w:r w:rsidRPr="0051076C">
        <w:rPr>
          <w:color w:val="0D0D0D" w:themeColor="text1" w:themeTint="F2"/>
          <w:szCs w:val="28"/>
        </w:rPr>
        <w:t xml:space="preserve">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4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2E7506" w:rsidRPr="0051076C" w:rsidP="002E7506" w14:paraId="6600E7E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правонарушениях следует, что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2E7506" w:rsidRPr="0051076C" w:rsidP="002E7506" w14:paraId="4BCD864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7506" w:rsidRPr="0051076C" w:rsidP="002E7506" w14:paraId="26A500D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E7506" w:rsidRPr="0051076C" w:rsidP="002E7506" w14:paraId="231E615F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</w:t>
      </w:r>
      <w:r w:rsidRPr="0051076C">
        <w:rPr>
          <w:color w:val="0D0D0D" w:themeColor="text1" w:themeTint="F2"/>
          <w:szCs w:val="28"/>
        </w:rPr>
        <w:t>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</w:t>
      </w:r>
      <w:r w:rsidRPr="0051076C">
        <w:rPr>
          <w:color w:val="0D0D0D" w:themeColor="text1" w:themeTint="F2"/>
          <w:szCs w:val="28"/>
        </w:rPr>
        <w:t>анимаемую полосу (сторону проезжей части).</w:t>
      </w:r>
    </w:p>
    <w:p w:rsidR="002E7506" w:rsidRPr="0051076C" w:rsidP="002E7506" w14:paraId="5F8A3980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мопедов и двухко</w:t>
      </w:r>
      <w:r w:rsidRPr="0051076C">
        <w:rPr>
          <w:color w:val="0D0D0D" w:themeColor="text1" w:themeTint="F2"/>
          <w:szCs w:val="28"/>
        </w:rPr>
        <w:t xml:space="preserve">лесных мотоциклов без коляски. </w:t>
      </w:r>
    </w:p>
    <w:p w:rsidR="002E7506" w:rsidRPr="0051076C" w:rsidP="002E7506" w14:paraId="54CCC1FC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участников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жного движения.</w:t>
      </w:r>
    </w:p>
    <w:p w:rsidR="002E7506" w:rsidRPr="0051076C" w:rsidP="002E7506" w14:paraId="4E3ABC42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</w:t>
      </w:r>
      <w:r w:rsidRPr="0051076C">
        <w:rPr>
          <w:color w:val="0D0D0D" w:themeColor="text1" w:themeTint="F2"/>
          <w:sz w:val="28"/>
          <w:szCs w:val="28"/>
        </w:rPr>
        <w:t xml:space="preserve">чного движения, либо на трамвайные пути встречного направления, за исключением случаев, </w:t>
      </w:r>
      <w:r w:rsidRPr="00A741F9">
        <w:rPr>
          <w:color w:val="0D0D0D" w:themeColor="text1" w:themeTint="F2"/>
          <w:sz w:val="28"/>
          <w:szCs w:val="28"/>
        </w:rPr>
        <w:t>предусмотренных </w:t>
      </w:r>
      <w:hyperlink r:id="rId8" w:anchor="/document/12125267/entry/121503" w:history="1">
        <w:r w:rsidRPr="00A741F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A741F9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</w:t>
      </w:r>
      <w:r w:rsidRPr="0051076C">
        <w:rPr>
          <w:color w:val="0D0D0D" w:themeColor="text1" w:themeTint="F2"/>
          <w:sz w:val="28"/>
          <w:szCs w:val="28"/>
        </w:rPr>
        <w:t xml:space="preserve"> тысяч рублей или лишение права управления транспортными средствами на срок от четырех до шести месяцев.</w:t>
      </w:r>
    </w:p>
    <w:p w:rsidR="002E7506" w:rsidRPr="0051076C" w:rsidP="002E7506" w14:paraId="3E551667" w14:textId="6854739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Сотниковой Е.С.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бгона транспортного средства в нарушение Пр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иксацией, дислокацией дорожных знаков.</w:t>
      </w:r>
    </w:p>
    <w:p w:rsidR="002E7506" w:rsidRPr="0051076C" w:rsidP="002E7506" w14:paraId="614952D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2E7506" w:rsidRPr="0051076C" w:rsidP="002E7506" w14:paraId="54FD0C9A" w14:textId="4DBD7AED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 Сотниковой Е.С. в</w:t>
      </w:r>
      <w:r w:rsidRPr="0051076C">
        <w:rPr>
          <w:color w:val="0D0D0D" w:themeColor="text1" w:themeTint="F2"/>
        </w:rPr>
        <w:t xml:space="preserve">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</w:t>
      </w:r>
      <w:r w:rsidRPr="0051076C">
        <w:rPr>
          <w:color w:val="0D0D0D" w:themeColor="text1" w:themeTint="F2"/>
        </w:rPr>
        <w:t>ровой судья квалифицирует его действия по ч. 4 ст. 12.15 Кодекса Российской Федерации об административных правонарушениях.</w:t>
      </w:r>
    </w:p>
    <w:p w:rsidR="002E7506" w:rsidRPr="00F74100" w:rsidP="002E7506" w14:paraId="0AD956C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К обстоятельствам, смягчающим административную ответственность, предусмотренным ст. 4.2 КоАП РФ, мировой судья относит: </w:t>
      </w:r>
      <w:r w:rsidRPr="00F74100">
        <w:rPr>
          <w:rFonts w:ascii="Times New Roman" w:hAnsi="Times New Roman" w:cs="Times New Roman"/>
          <w:bCs/>
          <w:color w:val="EE0000"/>
          <w:sz w:val="28"/>
          <w:szCs w:val="28"/>
        </w:rPr>
        <w:t>признание вин</w:t>
      </w:r>
      <w:r w:rsidRPr="00F74100">
        <w:rPr>
          <w:rFonts w:ascii="Times New Roman" w:hAnsi="Times New Roman" w:cs="Times New Roman"/>
          <w:bCs/>
          <w:color w:val="EE0000"/>
          <w:sz w:val="28"/>
          <w:szCs w:val="28"/>
        </w:rPr>
        <w:t>ы.</w:t>
      </w:r>
    </w:p>
    <w:p w:rsidR="002E7506" w:rsidRPr="0051076C" w:rsidP="002E7506" w14:paraId="4EE1BF5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 4.3 КоАП РФ   обстоятельств, 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2E7506" w:rsidRPr="0051076C" w:rsidP="002E7506" w14:paraId="45756FC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наличие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отсутствие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2E7506" w:rsidRPr="0051076C" w:rsidP="002E7506" w14:paraId="454DE79B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</w:t>
      </w:r>
      <w:r w:rsidRPr="0051076C">
        <w:rPr>
          <w:color w:val="0D0D0D" w:themeColor="text1" w:themeTint="F2"/>
          <w:szCs w:val="28"/>
        </w:rPr>
        <w:t>нистративных правонарушениях, мировой судья</w:t>
      </w:r>
    </w:p>
    <w:p w:rsidR="002E7506" w:rsidRPr="0051076C" w:rsidP="002E7506" w14:paraId="58BAF5A1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2E7506" w:rsidRPr="0051076C" w:rsidP="002E7506" w14:paraId="176E16E7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2E7506" w:rsidRPr="0051076C" w:rsidP="002E7506" w14:paraId="75716798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E7506" w:rsidRPr="0051076C" w:rsidP="002E7506" w14:paraId="1AA01D98" w14:textId="0ABC299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Сотникову Екатерину Сергеевну</w:t>
      </w:r>
      <w:r w:rsidRPr="0051076C">
        <w:rPr>
          <w:color w:val="0D0D0D" w:themeColor="text1" w:themeTint="F2"/>
          <w:szCs w:val="28"/>
        </w:rPr>
        <w:t xml:space="preserve"> признать виновн</w:t>
      </w:r>
      <w:r>
        <w:rPr>
          <w:color w:val="0D0D0D" w:themeColor="text1" w:themeTint="F2"/>
          <w:szCs w:val="28"/>
        </w:rPr>
        <w:t>ой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</w:t>
      </w:r>
      <w:r w:rsidRPr="0051076C">
        <w:rPr>
          <w:color w:val="0D0D0D" w:themeColor="text1" w:themeTint="F2"/>
          <w:szCs w:val="28"/>
        </w:rPr>
        <w:t>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2E7506" w:rsidRPr="0051076C" w:rsidP="002E7506" w14:paraId="0B9C0EF0" w14:textId="65A1524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Югре), КПП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860101001, ИНН 8601010390, БИК УФК 007162163, Единый казначейский расчетный счет 40102810245370000007, номер казначейского счета 03100643000000018700, Банк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60280004336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E7506" w:rsidP="002E7506" w14:paraId="7CF5C1EF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2E7506" w:rsidRPr="00052BDC" w:rsidP="002E7506" w14:paraId="7B1DE93A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052BDC">
        <w:rPr>
          <w:color w:val="0D0D0D" w:themeColor="text1" w:themeTint="F2"/>
          <w:szCs w:val="28"/>
        </w:rPr>
        <w:t xml:space="preserve"> пяти) рублей. </w:t>
      </w:r>
    </w:p>
    <w:p w:rsidR="002E7506" w:rsidRPr="0051076C" w:rsidP="002E7506" w14:paraId="45895C91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E7506" w:rsidRPr="0051076C" w:rsidP="002E7506" w14:paraId="41B10250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</w:t>
      </w:r>
      <w:r w:rsidRPr="0051076C">
        <w:rPr>
          <w:color w:val="0D0D0D" w:themeColor="text1" w:themeTint="F2"/>
          <w:szCs w:val="28"/>
        </w:rPr>
        <w:t>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2E7506" w:rsidRPr="0051076C" w:rsidP="002E7506" w14:paraId="3EB29686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2E7506" w:rsidP="002E7506" w14:paraId="644555E3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B21E36" w:rsidP="002E7506" w14:paraId="74B1298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21E36" w:rsidP="002E7506" w14:paraId="4B9262F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E7506" w:rsidRPr="002555E2" w:rsidP="002E7506" w14:paraId="52FCE30B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/подпись/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Вдовина</w:t>
      </w:r>
    </w:p>
    <w:p w:rsidR="002E7506" w:rsidP="002E7506" w14:paraId="4C162A63" w14:textId="6776DD01"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47724E" w14:paraId="5CF2D24F" w14:textId="77777777"/>
    <w:sectPr w:rsidSect="002E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06"/>
    <w:rsid w:val="00052BDC"/>
    <w:rsid w:val="001D1791"/>
    <w:rsid w:val="002555E2"/>
    <w:rsid w:val="002E7506"/>
    <w:rsid w:val="0047724E"/>
    <w:rsid w:val="0051076C"/>
    <w:rsid w:val="005D5F93"/>
    <w:rsid w:val="006017E1"/>
    <w:rsid w:val="00A741F9"/>
    <w:rsid w:val="00B21E36"/>
    <w:rsid w:val="00D133C0"/>
    <w:rsid w:val="00DC4CB5"/>
    <w:rsid w:val="00F17DAA"/>
    <w:rsid w:val="00F54228"/>
    <w:rsid w:val="00F74100"/>
    <w:rsid w:val="00F74170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F37395-DC35-45E6-9230-76CCAE27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06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E7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E7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E75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E75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E75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E75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E75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E75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E75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E750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E750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E750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E750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E750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E750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E750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E750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E7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E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2E750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2E75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E750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2E7506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2E750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506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2E7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E7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E7506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506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2E750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2E7506"/>
    <w:rPr>
      <w:rFonts w:ascii="Times New Roman" w:eastAsia="Times New Roman" w:hAnsi="Times New Roman" w:cs="Times New Roman"/>
      <w:sz w:val="28"/>
      <w:lang w:eastAsia="ru-RU" w:bidi="ar-SA"/>
    </w:rPr>
  </w:style>
  <w:style w:type="character" w:styleId="Hyperlink">
    <w:name w:val="Hyperlink"/>
    <w:uiPriority w:val="99"/>
    <w:rsid w:val="002E7506"/>
    <w:rPr>
      <w:color w:val="0000FF"/>
      <w:u w:val="single"/>
    </w:rPr>
  </w:style>
  <w:style w:type="paragraph" w:customStyle="1" w:styleId="ConsPlusNormal">
    <w:name w:val="ConsPlusNormal"/>
    <w:rsid w:val="002E75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s1">
    <w:name w:val="s_1"/>
    <w:basedOn w:val="Normal"/>
    <w:rsid w:val="002E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